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>
        <w:trPr>
          <w:trHeight w:val="1104"/>
        </w:trPr>
        <w:tc>
          <w:tcPr>
            <w:shd w:val="clear" w:color="auto" w:fill="auto"/>
            <w:tcW w:w="9889" w:type="dxa"/>
            <w:textDirection w:val="lrTb"/>
            <w:noWrap w:val="false"/>
          </w:tcPr>
          <w:p>
            <w:pPr>
              <w:ind w:left="5670"/>
              <w:jc w:val="both"/>
              <w:rPr>
                <w:bCs/>
              </w:rPr>
            </w:pPr>
            <w:r>
              <w:t xml:space="preserve">Приложение № </w:t>
            </w:r>
            <w:r>
              <w:t xml:space="preserve">2</w:t>
            </w:r>
            <w:r>
              <w:rPr>
                <w:bCs/>
              </w:rPr>
            </w:r>
          </w:p>
          <w:p>
            <w:pPr>
              <w:ind w:left="5670"/>
              <w:jc w:val="both"/>
              <w:rPr>
                <w:bCs/>
              </w:rPr>
            </w:pPr>
            <w:r>
              <w:t xml:space="preserve">к </w:t>
            </w:r>
            <w:r>
              <w:t xml:space="preserve">«</w:t>
            </w:r>
            <w:r>
              <w:t xml:space="preserve">Порядку рассмотрения </w:t>
            </w:r>
            <w:r>
              <w:rPr>
                <w:bCs/>
              </w:rPr>
              <w:t xml:space="preserve">Обращений </w:t>
            </w:r>
            <w:r>
              <w:rPr>
                <w:bCs/>
              </w:rPr>
              <w:t xml:space="preserve">Заявителя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АО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Банк ДАЛЕНА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  <w:t xml:space="preserve">, утвержденного Приказом Председателя Правления АО «Банк ДАЛЕНА» от 28.06.2024 №16-ОД, введенного в действие с 01.07.2024</w:t>
            </w:r>
            <w:r>
              <w:rPr>
                <w:bCs/>
              </w:rPr>
            </w:r>
          </w:p>
          <w:p>
            <w:pPr>
              <w:ind w:left="5670"/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jc w:val="center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center"/>
        <w:spacing w:line="259" w:lineRule="auto"/>
        <w:rPr>
          <w:color w:val="000000"/>
        </w:rPr>
      </w:pPr>
      <w:r>
        <w:rPr>
          <w:b/>
          <w:bCs/>
        </w:rPr>
        <w:t xml:space="preserve">Обращения в</w:t>
      </w:r>
      <w:r>
        <w:rPr>
          <w:b/>
          <w:bCs/>
        </w:rPr>
        <w:t xml:space="preserve"> </w:t>
      </w:r>
      <w:r>
        <w:rPr>
          <w:b/>
          <w:bCs/>
        </w:rPr>
        <w:t xml:space="preserve">АО </w:t>
      </w:r>
      <w:r>
        <w:rPr>
          <w:b/>
          <w:bCs/>
        </w:rPr>
        <w:t xml:space="preserve">«</w:t>
      </w:r>
      <w:r>
        <w:rPr>
          <w:b/>
          <w:bCs/>
        </w:rPr>
        <w:t xml:space="preserve">Банк ДАЛЕНА</w:t>
      </w:r>
      <w:r>
        <w:rPr>
          <w:b/>
          <w:bCs/>
        </w:rPr>
        <w:t xml:space="preserve">»</w:t>
      </w:r>
      <w:r>
        <w:rPr>
          <w:color w:val="000000"/>
        </w:rPr>
      </w:r>
    </w:p>
    <w:p>
      <w:pPr>
        <w:jc w:val="center"/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ind w:firstLine="567"/>
        <w:jc w:val="both"/>
      </w:pPr>
      <w:r>
        <w:t xml:space="preserve">Банк принимает Обращения Заявителей по адресам мест нахождения </w:t>
      </w:r>
      <w:r>
        <w:t xml:space="preserve">Центральн</w:t>
      </w:r>
      <w:r>
        <w:t xml:space="preserve">ого и Дополнительных </w:t>
      </w:r>
      <w:r>
        <w:t xml:space="preserve">офис</w:t>
      </w:r>
      <w:r>
        <w:t xml:space="preserve">ов</w:t>
      </w:r>
      <w:r>
        <w:t xml:space="preserve"> Банка</w:t>
      </w:r>
      <w:r>
        <w:t xml:space="preserve">:</w:t>
      </w:r>
      <w:r/>
    </w:p>
    <w:p>
      <w:pPr>
        <w:ind w:firstLine="567"/>
        <w:jc w:val="both"/>
      </w:pPr>
      <w:r>
        <w:t xml:space="preserve">Центральный офис - </w:t>
      </w:r>
      <w:r>
        <w:t xml:space="preserve">111024 Москва, </w:t>
      </w:r>
      <w:r>
        <w:t xml:space="preserve">ш</w:t>
      </w:r>
      <w:r>
        <w:t xml:space="preserve">. Энтузиастов, 17</w:t>
      </w:r>
      <w:r/>
    </w:p>
    <w:p>
      <w:pPr>
        <w:ind w:firstLine="567"/>
        <w:jc w:val="both"/>
      </w:pPr>
      <w:r>
        <w:t xml:space="preserve">Дополнительный офис «Смоленский» - 119121 Москва, Смоленский </w:t>
      </w:r>
      <w:r>
        <w:t xml:space="preserve">б-р</w:t>
      </w:r>
      <w:r>
        <w:t xml:space="preserve">, д. 17, стр.1</w:t>
      </w:r>
      <w:r/>
    </w:p>
    <w:p>
      <w:pPr>
        <w:ind w:firstLine="567"/>
        <w:jc w:val="both"/>
      </w:pPr>
      <w:r>
        <w:t xml:space="preserve">Дополнительный офис </w:t>
      </w:r>
      <w:r>
        <w:t xml:space="preserve">«</w:t>
      </w:r>
      <w:r>
        <w:t xml:space="preserve">Ходынский</w:t>
      </w:r>
      <w:r>
        <w:t xml:space="preserve">»</w:t>
      </w:r>
      <w:r>
        <w:t xml:space="preserve"> - 125252 Москва, Березовой Рощи </w:t>
      </w:r>
      <w:r>
        <w:t xml:space="preserve">пр-д</w:t>
      </w:r>
      <w:r>
        <w:t xml:space="preserve">, 12</w:t>
      </w:r>
      <w:r/>
    </w:p>
    <w:p>
      <w:pPr>
        <w:ind w:firstLine="567"/>
        <w:jc w:val="both"/>
      </w:pPr>
      <w:r>
        <w:t xml:space="preserve">Дополнительный офис </w:t>
      </w:r>
      <w:r>
        <w:t xml:space="preserve">«</w:t>
      </w:r>
      <w:r>
        <w:t xml:space="preserve">Прожектор</w:t>
      </w:r>
      <w:r>
        <w:t xml:space="preserve">»</w:t>
      </w:r>
      <w:r>
        <w:t xml:space="preserve"> - 111123 Москва, </w:t>
      </w:r>
      <w:r>
        <w:t xml:space="preserve">ш</w:t>
      </w:r>
      <w:r>
        <w:t xml:space="preserve">. Энтузиастов, д. 56, стр. 32</w:t>
      </w:r>
      <w:r/>
    </w:p>
    <w:p>
      <w:pPr>
        <w:ind w:firstLine="567"/>
        <w:jc w:val="both"/>
      </w:pPr>
      <w:r>
        <w:t xml:space="preserve">Дополнительный офис </w:t>
      </w:r>
      <w:r>
        <w:t xml:space="preserve">«</w:t>
      </w:r>
      <w:r>
        <w:t xml:space="preserve">Енисейский</w:t>
      </w:r>
      <w:r>
        <w:t xml:space="preserve">»</w:t>
      </w:r>
      <w:r>
        <w:t xml:space="preserve"> - 129344 Москва, ул. Енисейская, 1, стр. 1</w:t>
      </w:r>
      <w:r/>
    </w:p>
    <w:p>
      <w:pPr>
        <w:ind w:firstLine="567"/>
        <w:jc w:val="both"/>
      </w:pPr>
      <w:r>
        <w:t xml:space="preserve">Дополнительный офис </w:t>
      </w:r>
      <w:r>
        <w:t xml:space="preserve">«</w:t>
      </w:r>
      <w:r>
        <w:t xml:space="preserve">Таганский</w:t>
      </w:r>
      <w:r>
        <w:t xml:space="preserve">»</w:t>
      </w:r>
      <w:r>
        <w:t xml:space="preserve"> - 109004 Москва, </w:t>
      </w:r>
      <w:r>
        <w:t xml:space="preserve">Пестовский</w:t>
      </w:r>
      <w:r>
        <w:t xml:space="preserve"> пер., 5</w:t>
      </w:r>
      <w:r/>
    </w:p>
    <w:p>
      <w:pPr>
        <w:ind w:firstLine="567"/>
        <w:jc w:val="both"/>
      </w:pPr>
      <w:r>
        <w:t xml:space="preserve">Дополнительный офис </w:t>
      </w:r>
      <w:r>
        <w:t xml:space="preserve">«</w:t>
      </w:r>
      <w:r>
        <w:t xml:space="preserve">Правдинский</w:t>
      </w:r>
      <w:r>
        <w:t xml:space="preserve">»</w:t>
      </w:r>
      <w:r>
        <w:t xml:space="preserve"> - 141260 Московская обл., Пушкинский р-н, Правдинский пос., ул. Герцена, 30, стр. 1</w:t>
      </w:r>
      <w:r/>
    </w:p>
    <w:p>
      <w:pPr>
        <w:ind w:firstLine="567"/>
        <w:jc w:val="both"/>
      </w:pPr>
      <w:r>
        <w:t xml:space="preserve">Банк принимает Обращения</w:t>
      </w:r>
      <w:r>
        <w:t xml:space="preserve">,</w:t>
      </w:r>
      <w:r>
        <w:t xml:space="preserve"> направленные</w:t>
      </w:r>
      <w:r>
        <w:t xml:space="preserve">:</w:t>
      </w:r>
      <w:r/>
    </w:p>
    <w:p>
      <w:pPr>
        <w:ind w:firstLine="567"/>
        <w:jc w:val="both"/>
      </w:pPr>
      <w:r>
        <w:t xml:space="preserve">- посредством почтовой связи или нарочным на бумажном носителе;</w:t>
      </w:r>
      <w:r/>
    </w:p>
    <w:p>
      <w:pPr>
        <w:ind w:firstLine="567"/>
        <w:jc w:val="both"/>
      </w:pPr>
      <w:r>
        <w:t xml:space="preserve">- на адрес </w:t>
      </w:r>
      <w:r>
        <w:t xml:space="preserve">электронной почты Банка </w:t>
      </w:r>
      <w:hyperlink r:id="rId12" w:tooltip="mailto:dln@dalena.ru" w:history="1">
        <w:r>
          <w:t xml:space="preserve">dln@dalena.ru</w:t>
        </w:r>
      </w:hyperlink>
      <w:r>
        <w:t xml:space="preserve">;</w:t>
      </w:r>
      <w:r/>
    </w:p>
    <w:p>
      <w:pPr>
        <w:ind w:firstLine="567"/>
        <w:jc w:val="both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567"/>
        <w:jc w:val="both"/>
        <w:tabs>
          <w:tab w:val="left" w:pos="567" w:leader="none"/>
        </w:tabs>
      </w:pPr>
      <w:r>
        <w:t xml:space="preserve">-</w:t>
      </w:r>
      <w:r>
        <w:t xml:space="preserve"> п</w:t>
      </w:r>
      <w:r>
        <w:t xml:space="preserve">о</w:t>
      </w:r>
      <w:r>
        <w:t xml:space="preserve">с</w:t>
      </w:r>
      <w:r>
        <w:t xml:space="preserve">редств</w:t>
      </w:r>
      <w:r>
        <w:t xml:space="preserve">ом</w:t>
      </w:r>
      <w:r>
        <w:t xml:space="preserve"> заполнения Книги жалоб и предложений в Центральном или Дополнительных офисах Банка;</w:t>
      </w:r>
      <w:r/>
    </w:p>
    <w:p>
      <w:pPr>
        <w:ind w:firstLine="567"/>
        <w:jc w:val="both"/>
      </w:pPr>
      <w:r>
        <w:t xml:space="preserve">- через Систему </w:t>
      </w:r>
      <w:r>
        <w:t xml:space="preserve">«</w:t>
      </w:r>
      <w:r>
        <w:t xml:space="preserve">Клиент-Банк</w:t>
      </w:r>
      <w:r>
        <w:t xml:space="preserve">»</w:t>
      </w:r>
      <w:r>
        <w:t xml:space="preserve"> (в случае если у Клиента заключен соответствующий договор и при наличии технической возможности)</w:t>
      </w:r>
      <w:r>
        <w:t xml:space="preserve">.</w:t>
      </w:r>
      <w:r/>
    </w:p>
    <w:p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Обращения Заявителей, направленные в Банк через Банк России, принимаются посредством Личного кабинета.</w:t>
      </w:r>
      <w:r>
        <w:rPr>
          <w:color w:val="000000"/>
        </w:rPr>
      </w:r>
    </w:p>
    <w:p>
      <w:pPr>
        <w:ind w:firstLine="567"/>
        <w:jc w:val="both"/>
      </w:pPr>
      <w:r>
        <w:t xml:space="preserve">Банк рассматривает Обращение и по результат</w:t>
      </w:r>
      <w:r>
        <w:t xml:space="preserve">ам его рассмотрения направляет З</w:t>
      </w:r>
      <w:r>
        <w:t xml:space="preserve">аявителю ответ в течени</w:t>
      </w:r>
      <w:r>
        <w:t xml:space="preserve">е</w:t>
      </w:r>
      <w:r>
        <w:t xml:space="preserve"> 15 рабочих дней со дня регистрации Обращения</w:t>
      </w:r>
      <w:r>
        <w:t xml:space="preserve">. </w:t>
      </w:r>
      <w:r>
        <w:t xml:space="preserve"> </w:t>
      </w:r>
      <w:r/>
    </w:p>
    <w:p>
      <w:pPr>
        <w:ind w:firstLine="567"/>
        <w:jc w:val="both"/>
      </w:pPr>
      <w:r>
        <w:t xml:space="preserve">Прием </w:t>
      </w:r>
      <w:r>
        <w:t xml:space="preserve">Обращени</w:t>
      </w:r>
      <w:r>
        <w:t xml:space="preserve">й</w:t>
      </w:r>
      <w:r>
        <w:t xml:space="preserve"> Заявителей, касающи</w:t>
      </w:r>
      <w:r>
        <w:t xml:space="preserve">х</w:t>
      </w:r>
      <w:r>
        <w:t xml:space="preserve">ся осуществления Банком профессиональной деятельности на рынке ценных бумаг</w:t>
      </w:r>
      <w:r>
        <w:t xml:space="preserve">, регламентируется пунктом 5 Регламента взаимодействия работников банка с получателями финансовых услуг на рынке ценных бумаг АО «Банк ДАЛЕНА».</w:t>
      </w:r>
      <w:r/>
    </w:p>
    <w:p>
      <w:pPr>
        <w:ind w:firstLine="540"/>
        <w:jc w:val="both"/>
        <w:rPr>
          <w:color w:val="000000"/>
        </w:rPr>
      </w:pPr>
      <w:r>
        <w:t xml:space="preserve">В случае, если </w:t>
      </w:r>
      <w:r>
        <w:t xml:space="preserve">О</w:t>
      </w:r>
      <w:r>
        <w:t xml:space="preserve">бращение содержит требование имущественного характера, которое связано с восстановлением </w:t>
      </w:r>
      <w:r>
        <w:t xml:space="preserve">Банком</w:t>
      </w:r>
      <w:r>
        <w:t xml:space="preserve"> нарушенного права </w:t>
      </w:r>
      <w:r>
        <w:t xml:space="preserve">З</w:t>
      </w:r>
      <w:r>
        <w:t xml:space="preserve">аявителя и подлежит рассмотрению финансовым уполномоченным, направление </w:t>
      </w:r>
      <w:r>
        <w:t xml:space="preserve">О</w:t>
      </w:r>
      <w:r>
        <w:t xml:space="preserve">бращения в соответствии с требованиями настояще</w:t>
      </w:r>
      <w:r>
        <w:t xml:space="preserve">го Порядка </w:t>
      </w:r>
      <w:r>
        <w:t xml:space="preserve">является соблюдением </w:t>
      </w:r>
      <w:r>
        <w:t xml:space="preserve">З</w:t>
      </w:r>
      <w:r>
        <w:t xml:space="preserve">аявителем обязанности, предусмотренной </w:t>
      </w:r>
      <w:hyperlink r:id="rId13" w:tooltip="https://login.consultant.ru/link/?req=doc&amp;base=LAW&amp;n=449887&amp;dst=100176" w:history="1">
        <w:r>
          <w:t xml:space="preserve">частью 1 статьи 16</w:t>
        </w:r>
      </w:hyperlink>
      <w:r>
        <w:t xml:space="preserve"> Федерального закона от 4 июня 2018 года </w:t>
      </w:r>
      <w:r>
        <w:t xml:space="preserve">№</w:t>
      </w:r>
      <w:r>
        <w:t xml:space="preserve"> 123-ФЗ </w:t>
      </w:r>
      <w:r>
        <w:t xml:space="preserve">«</w:t>
      </w:r>
      <w:r>
        <w:t xml:space="preserve">Об уполномоченном по правам потребителей финансовых услуг</w:t>
      </w:r>
      <w:r>
        <w:t xml:space="preserve">»</w:t>
      </w:r>
      <w:r>
        <w:t xml:space="preserve"> (далее - Федеральный закон № 123-ФЗ)</w:t>
      </w:r>
      <w:r>
        <w:t xml:space="preserve">, и обращение подлежит</w:t>
      </w:r>
      <w:r>
        <w:t xml:space="preserve"> рассмотрению </w:t>
      </w:r>
      <w:r>
        <w:t xml:space="preserve">Банком</w:t>
      </w:r>
      <w:r>
        <w:t xml:space="preserve"> в порядке и сроки, которые установлены </w:t>
      </w:r>
      <w:r>
        <w:t xml:space="preserve">Федеральны</w:t>
      </w:r>
      <w:r>
        <w:t xml:space="preserve">м</w:t>
      </w:r>
      <w:r>
        <w:t xml:space="preserve"> закон</w:t>
      </w:r>
      <w:r>
        <w:t xml:space="preserve">ом</w:t>
      </w:r>
      <w:r>
        <w:t xml:space="preserve"> </w:t>
      </w:r>
      <w:r>
        <w:t xml:space="preserve">№</w:t>
      </w:r>
      <w:r>
        <w:t xml:space="preserve"> 123-ФЗ</w:t>
      </w:r>
      <w:r>
        <w:t xml:space="preserve">.</w:t>
      </w:r>
      <w:r>
        <w:rPr>
          <w:color w:val="000000"/>
        </w:rPr>
      </w:r>
    </w:p>
    <w:p>
      <w:pPr>
        <w:jc w:val="both"/>
        <w:rPr>
          <w:sz w:val="8"/>
          <w:szCs w:val="8"/>
        </w:rPr>
      </w:pPr>
      <w:r>
        <w:rPr>
          <w:sz w:val="8"/>
          <w:szCs w:val="8"/>
        </w:rPr>
      </w:r>
      <w:r>
        <w:rPr>
          <w:sz w:val="8"/>
          <w:szCs w:val="8"/>
        </w:rPr>
      </w:r>
    </w:p>
    <w:p>
      <w:pPr>
        <w:ind w:firstLine="567"/>
        <w:jc w:val="both"/>
      </w:pPr>
      <w:r>
        <w:t xml:space="preserve">Действие настоящего Порядка не распространяется </w:t>
      </w:r>
      <w:r>
        <w:t xml:space="preserve">на</w:t>
      </w:r>
      <w:r>
        <w:t xml:space="preserve">:</w:t>
      </w:r>
      <w:r/>
    </w:p>
    <w:p>
      <w:pPr>
        <w:ind w:firstLine="567"/>
        <w:jc w:val="both"/>
      </w:pPr>
      <w:r>
        <w:t xml:space="preserve">-</w:t>
      </w:r>
      <w:r>
        <w:t xml:space="preserve"> О</w:t>
      </w:r>
      <w:r>
        <w:t xml:space="preserve">бращения за получением информационных и консультационных услуг; </w:t>
      </w:r>
      <w:r/>
    </w:p>
    <w:p>
      <w:pPr>
        <w:ind w:firstLine="567"/>
        <w:jc w:val="both"/>
      </w:pPr>
      <w:r>
        <w:t xml:space="preserve">-</w:t>
      </w:r>
      <w:r>
        <w:t xml:space="preserve"> </w:t>
      </w:r>
      <w:r>
        <w:t xml:space="preserve">Обращения Заявителей, поступившие в Банк в устной форме; </w:t>
      </w:r>
      <w:r/>
    </w:p>
    <w:p>
      <w:pPr>
        <w:ind w:firstLine="567"/>
        <w:jc w:val="both"/>
      </w:pPr>
      <w:r>
        <w:t xml:space="preserve">-</w:t>
      </w:r>
      <w:r>
        <w:t xml:space="preserve"> </w:t>
      </w:r>
      <w:r>
        <w:t xml:space="preserve">Обращения, поступившие в виде спама;</w:t>
      </w:r>
      <w:r/>
    </w:p>
    <w:p>
      <w:pPr>
        <w:ind w:firstLine="567"/>
        <w:jc w:val="both"/>
      </w:pPr>
      <w:r>
        <w:t xml:space="preserve">-</w:t>
      </w:r>
      <w:r>
        <w:t xml:space="preserve"> </w:t>
      </w:r>
      <w:r>
        <w:t xml:space="preserve">Обращени</w:t>
      </w:r>
      <w:r>
        <w:t xml:space="preserve">я,</w:t>
      </w:r>
      <w:r>
        <w:t xml:space="preserve"> </w:t>
      </w:r>
      <w:r>
        <w:t xml:space="preserve">в которых </w:t>
      </w:r>
      <w:r>
        <w:t xml:space="preserve">не указан адрес, по которому должен быть направлен ответ;</w:t>
      </w:r>
      <w:r/>
    </w:p>
    <w:p>
      <w:pPr>
        <w:ind w:firstLine="567"/>
        <w:jc w:val="both"/>
      </w:pPr>
      <w:r>
        <w:t xml:space="preserve">-</w:t>
      </w:r>
      <w:r>
        <w:t xml:space="preserve"> Обращения, в которых не указана фамилия (наименование) Заявителя;</w:t>
      </w:r>
      <w:r/>
    </w:p>
    <w:p>
      <w:pPr>
        <w:ind w:firstLine="567"/>
        <w:jc w:val="both"/>
      </w:pPr>
      <w:r>
        <w:t xml:space="preserve">-</w:t>
      </w:r>
      <w:r>
        <w:t xml:space="preserve"> Обращения, в которых содержатся нецензурные либо оскорбительные выражения, угрозы имуществу кредитной организации, угрозы жизни, здоровью и имуществу работника кредитной организации, а также членов его семьи;</w:t>
      </w:r>
      <w:r/>
    </w:p>
    <w:p>
      <w:pPr>
        <w:ind w:firstLine="567"/>
        <w:jc w:val="both"/>
      </w:pPr>
      <w:r>
        <w:t xml:space="preserve">-</w:t>
      </w:r>
      <w:r>
        <w:t xml:space="preserve"> Обращения, если его текст не поддается прочтению;</w:t>
      </w:r>
      <w:r/>
    </w:p>
    <w:p>
      <w:pPr>
        <w:ind w:firstLine="567"/>
        <w:jc w:val="both"/>
        <w:rPr>
          <w:b/>
        </w:rPr>
      </w:pPr>
      <w:r>
        <w:t xml:space="preserve">-</w:t>
      </w:r>
      <w:r>
        <w:t xml:space="preserve"> Обращения, если текст не позволяет определить его суть.</w:t>
      </w:r>
      <w:r>
        <w:rPr>
          <w:b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426" w:right="794" w:bottom="28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rPr>
        <w:rStyle w:val="728"/>
      </w:rPr>
      <w:framePr w:wrap="around" w:vAnchor="text" w:hAnchor="margin" w:xAlign="right" w:y="1"/>
    </w:pPr>
    <w:r>
      <w:rPr>
        <w:rStyle w:val="728"/>
      </w:rPr>
      <w:fldChar w:fldCharType="begin"/>
    </w:r>
    <w:r>
      <w:rPr>
        <w:rStyle w:val="728"/>
      </w:rPr>
      <w:instrText xml:space="preserve">PAGE  </w:instrText>
    </w:r>
    <w:r>
      <w:rPr>
        <w:rStyle w:val="728"/>
      </w:rPr>
      <w:fldChar w:fldCharType="end"/>
    </w:r>
    <w:r>
      <w:rPr>
        <w:rStyle w:val="728"/>
      </w:rPr>
    </w:r>
  </w:p>
  <w:p>
    <w:pPr>
      <w:pStyle w:val="727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 w:cs="Times New Roman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6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6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2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4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6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8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0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2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4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6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83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8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55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18"/>
  </w:num>
  <w:num w:numId="6">
    <w:abstractNumId w:val="11"/>
  </w:num>
  <w:num w:numId="7">
    <w:abstractNumId w:val="17"/>
  </w:num>
  <w:num w:numId="8">
    <w:abstractNumId w:val="10"/>
  </w:num>
  <w:num w:numId="9">
    <w:abstractNumId w:val="7"/>
  </w:num>
  <w:num w:numId="10">
    <w:abstractNumId w:val="1"/>
  </w:num>
  <w:num w:numId="11">
    <w:abstractNumId w:val="15"/>
  </w:num>
  <w:num w:numId="12">
    <w:abstractNumId w:val="4"/>
  </w:num>
  <w:num w:numId="13">
    <w:abstractNumId w:val="6"/>
  </w:num>
  <w:num w:numId="14">
    <w:abstractNumId w:val="19"/>
  </w:num>
  <w:num w:numId="15">
    <w:abstractNumId w:val="16"/>
  </w:num>
  <w:num w:numId="16">
    <w:abstractNumId w:val="13"/>
  </w:num>
  <w:num w:numId="17">
    <w:abstractNumId w:val="9"/>
  </w:num>
  <w:num w:numId="18">
    <w:abstractNumId w:val="14"/>
  </w:num>
  <w:num w:numId="19">
    <w:abstractNumId w:val="3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1"/>
    <w:next w:val="7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1"/>
    <w:next w:val="7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1"/>
    <w:next w:val="7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3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3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1"/>
    <w:next w:val="7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1"/>
    <w:next w:val="7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1"/>
    <w:next w:val="7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1"/>
    <w:next w:val="7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1"/>
    <w:next w:val="7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1"/>
    <w:next w:val="7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3"/>
    <w:link w:val="34"/>
    <w:uiPriority w:val="10"/>
    <w:rPr>
      <w:sz w:val="48"/>
      <w:szCs w:val="48"/>
    </w:rPr>
  </w:style>
  <w:style w:type="paragraph" w:styleId="36">
    <w:name w:val="Subtitle"/>
    <w:basedOn w:val="721"/>
    <w:next w:val="7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3"/>
    <w:link w:val="36"/>
    <w:uiPriority w:val="11"/>
    <w:rPr>
      <w:sz w:val="24"/>
      <w:szCs w:val="24"/>
    </w:rPr>
  </w:style>
  <w:style w:type="paragraph" w:styleId="38">
    <w:name w:val="Quote"/>
    <w:basedOn w:val="721"/>
    <w:next w:val="7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1"/>
    <w:next w:val="7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3"/>
    <w:link w:val="735"/>
    <w:uiPriority w:val="99"/>
  </w:style>
  <w:style w:type="character" w:styleId="45">
    <w:name w:val="Footer Char"/>
    <w:basedOn w:val="723"/>
    <w:link w:val="727"/>
    <w:uiPriority w:val="99"/>
  </w:style>
  <w:style w:type="paragraph" w:styleId="46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7"/>
    <w:uiPriority w:val="99"/>
  </w:style>
  <w:style w:type="table" w:styleId="49">
    <w:name w:val="Table Grid Light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3"/>
    <w:uiPriority w:val="99"/>
    <w:unhideWhenUsed/>
    <w:rPr>
      <w:vertAlign w:val="superscript"/>
    </w:rPr>
  </w:style>
  <w:style w:type="paragraph" w:styleId="178">
    <w:name w:val="endnote text"/>
    <w:basedOn w:val="7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3"/>
    <w:uiPriority w:val="99"/>
    <w:semiHidden/>
    <w:unhideWhenUsed/>
    <w:rPr>
      <w:vertAlign w:val="superscript"/>
    </w:rPr>
  </w:style>
  <w:style w:type="paragraph" w:styleId="181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rPr>
      <w:sz w:val="24"/>
      <w:szCs w:val="24"/>
    </w:rPr>
  </w:style>
  <w:style w:type="paragraph" w:styleId="722">
    <w:name w:val="Heading 4"/>
    <w:basedOn w:val="721"/>
    <w:next w:val="721"/>
    <w:qFormat/>
    <w:pPr>
      <w:ind w:left="709" w:hanging="709"/>
      <w:jc w:val="center"/>
      <w:keepNext/>
      <w:spacing w:line="360" w:lineRule="auto"/>
      <w:outlineLvl w:val="3"/>
    </w:pPr>
    <w:rPr>
      <w:rFonts w:ascii="Arial" w:hAnsi="Arial" w:cs="Arial"/>
      <w:b/>
      <w:bCs/>
      <w:sz w:val="22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paragraph" w:styleId="726" w:customStyle="1">
    <w:name w:val="ConsPlusNormal"/>
    <w:rPr>
      <w:rFonts w:ascii="Arial" w:hAnsi="Arial" w:cs="Arial"/>
    </w:rPr>
  </w:style>
  <w:style w:type="paragraph" w:styleId="727">
    <w:name w:val="Footer"/>
    <w:basedOn w:val="721"/>
    <w:semiHidden/>
    <w:pPr>
      <w:tabs>
        <w:tab w:val="center" w:pos="4677" w:leader="none"/>
        <w:tab w:val="right" w:pos="9355" w:leader="none"/>
      </w:tabs>
    </w:pPr>
  </w:style>
  <w:style w:type="character" w:styleId="728">
    <w:name w:val="page number"/>
    <w:basedOn w:val="723"/>
    <w:semiHidden/>
  </w:style>
  <w:style w:type="paragraph" w:styleId="729" w:customStyle="1">
    <w:name w:val="Style5"/>
    <w:basedOn w:val="721"/>
    <w:uiPriority w:val="99"/>
    <w:pPr>
      <w:widowControl w:val="off"/>
    </w:pPr>
  </w:style>
  <w:style w:type="character" w:styleId="730" w:customStyle="1">
    <w:name w:val="Font Style17"/>
    <w:uiPriority w:val="99"/>
    <w:rPr>
      <w:rFonts w:ascii="Times New Roman" w:hAnsi="Times New Roman" w:cs="Times New Roman"/>
      <w:b/>
      <w:bCs/>
      <w:sz w:val="22"/>
      <w:szCs w:val="22"/>
    </w:rPr>
  </w:style>
  <w:style w:type="paragraph" w:styleId="731" w:customStyle="1">
    <w:name w:val="Style9"/>
    <w:basedOn w:val="721"/>
    <w:pPr>
      <w:ind w:firstLine="715"/>
      <w:jc w:val="both"/>
      <w:spacing w:line="278" w:lineRule="exact"/>
      <w:widowControl w:val="off"/>
    </w:pPr>
  </w:style>
  <w:style w:type="character" w:styleId="732" w:customStyle="1">
    <w:name w:val="Font Style19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733" w:customStyle="1">
    <w:name w:val="Font Style12"/>
    <w:rPr>
      <w:rFonts w:ascii="Times New Roman" w:hAnsi="Times New Roman" w:cs="Times New Roman"/>
      <w:sz w:val="22"/>
      <w:szCs w:val="22"/>
    </w:rPr>
  </w:style>
  <w:style w:type="paragraph" w:styleId="734">
    <w:name w:val="List Paragraph"/>
    <w:basedOn w:val="721"/>
    <w:uiPriority w:val="34"/>
    <w:qFormat/>
    <w:pPr>
      <w:contextualSpacing/>
      <w:ind w:left="720"/>
    </w:pPr>
  </w:style>
  <w:style w:type="paragraph" w:styleId="735">
    <w:name w:val="Header"/>
    <w:basedOn w:val="721"/>
    <w:link w:val="7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36" w:customStyle="1">
    <w:name w:val="Верхний колонтитул Знак"/>
    <w:link w:val="735"/>
    <w:uiPriority w:val="99"/>
    <w:rPr>
      <w:sz w:val="24"/>
      <w:szCs w:val="24"/>
    </w:rPr>
  </w:style>
  <w:style w:type="character" w:styleId="737">
    <w:name w:val="annotation reference"/>
    <w:uiPriority w:val="99"/>
    <w:semiHidden/>
    <w:unhideWhenUsed/>
    <w:rPr>
      <w:sz w:val="16"/>
      <w:szCs w:val="16"/>
    </w:rPr>
  </w:style>
  <w:style w:type="paragraph" w:styleId="738">
    <w:name w:val="annotation text"/>
    <w:basedOn w:val="721"/>
    <w:link w:val="739"/>
    <w:uiPriority w:val="99"/>
    <w:unhideWhenUsed/>
    <w:rPr>
      <w:sz w:val="20"/>
      <w:szCs w:val="20"/>
    </w:rPr>
  </w:style>
  <w:style w:type="character" w:styleId="739" w:customStyle="1">
    <w:name w:val="Текст примечания Знак"/>
    <w:basedOn w:val="723"/>
    <w:link w:val="738"/>
    <w:uiPriority w:val="99"/>
  </w:style>
  <w:style w:type="paragraph" w:styleId="740">
    <w:name w:val="annotation subject"/>
    <w:basedOn w:val="738"/>
    <w:next w:val="738"/>
    <w:link w:val="741"/>
    <w:uiPriority w:val="99"/>
    <w:semiHidden/>
    <w:unhideWhenUsed/>
    <w:rPr>
      <w:b/>
      <w:bCs/>
    </w:rPr>
  </w:style>
  <w:style w:type="character" w:styleId="741" w:customStyle="1">
    <w:name w:val="Тема примечания Знак"/>
    <w:link w:val="740"/>
    <w:uiPriority w:val="99"/>
    <w:semiHidden/>
    <w:rPr>
      <w:b/>
      <w:bCs/>
    </w:rPr>
  </w:style>
  <w:style w:type="paragraph" w:styleId="742">
    <w:name w:val="Revision"/>
    <w:hidden/>
    <w:uiPriority w:val="99"/>
    <w:semiHidden/>
    <w:rPr>
      <w:sz w:val="24"/>
      <w:szCs w:val="24"/>
    </w:rPr>
  </w:style>
  <w:style w:type="paragraph" w:styleId="743">
    <w:name w:val="Balloon Text"/>
    <w:basedOn w:val="721"/>
    <w:link w:val="744"/>
    <w:uiPriority w:val="99"/>
    <w:semiHidden/>
    <w:unhideWhenUsed/>
    <w:rPr>
      <w:rFonts w:ascii="Segoe UI" w:hAnsi="Segoe UI"/>
      <w:sz w:val="18"/>
      <w:szCs w:val="18"/>
    </w:rPr>
  </w:style>
  <w:style w:type="character" w:styleId="744" w:customStyle="1">
    <w:name w:val="Текст выноски Знак"/>
    <w:link w:val="743"/>
    <w:uiPriority w:val="99"/>
    <w:semiHidden/>
    <w:rPr>
      <w:rFonts w:ascii="Segoe UI" w:hAnsi="Segoe UI" w:cs="Segoe UI"/>
      <w:sz w:val="18"/>
      <w:szCs w:val="18"/>
    </w:rPr>
  </w:style>
  <w:style w:type="character" w:styleId="745">
    <w:name w:val="Hyperlink"/>
    <w:uiPriority w:val="99"/>
    <w:unhideWhenUsed/>
    <w:rPr>
      <w:strike w:val="0"/>
      <w:color w:val="016444"/>
      <w:u w:val="none"/>
      <w:shd w:val="clear" w:color="auto" w:fill="auto"/>
    </w:rPr>
  </w:style>
  <w:style w:type="table" w:styleId="746">
    <w:name w:val="Table Grid"/>
    <w:basedOn w:val="72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47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748" w:customStyle="1">
    <w:name w:val="Default"/>
    <w:rPr>
      <w:color w:val="000000"/>
      <w:sz w:val="24"/>
      <w:szCs w:val="24"/>
    </w:rPr>
  </w:style>
  <w:style w:type="paragraph" w:styleId="749">
    <w:name w:val="Document Map"/>
    <w:basedOn w:val="721"/>
    <w:link w:val="750"/>
    <w:uiPriority w:val="99"/>
    <w:semiHidden/>
    <w:unhideWhenUsed/>
    <w:rPr>
      <w:rFonts w:ascii="Tahoma" w:hAnsi="Tahoma" w:cs="Tahoma"/>
      <w:sz w:val="16"/>
      <w:szCs w:val="16"/>
    </w:rPr>
  </w:style>
  <w:style w:type="character" w:styleId="750" w:customStyle="1">
    <w:name w:val="Схема документа Знак"/>
    <w:basedOn w:val="723"/>
    <w:link w:val="749"/>
    <w:uiPriority w:val="99"/>
    <w:semiHidden/>
    <w:rPr>
      <w:rFonts w:ascii="Tahoma" w:hAnsi="Tahoma" w:cs="Tahoma"/>
      <w:sz w:val="16"/>
      <w:szCs w:val="16"/>
    </w:rPr>
  </w:style>
  <w:style w:type="character" w:styleId="751" w:customStyle="1">
    <w:name w:val="Неразрешенное упоминание2"/>
    <w:basedOn w:val="72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ln@dalena.ru" TargetMode="External"/><Relationship Id="rId13" Type="http://schemas.openxmlformats.org/officeDocument/2006/relationships/hyperlink" Target="https://login.consultant.ru/link/?req=doc&amp;base=LAW&amp;n=449887&amp;dst=1001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EBDABF-757D-42AF-BA7A-FA6C57FC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dln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 с заявлениями и жалобами граждан</dc:title>
  <dc:creator>esolozhentseva</dc:creator>
  <cp:lastModifiedBy>Саша Харькова</cp:lastModifiedBy>
  <cp:revision>4</cp:revision>
  <dcterms:created xsi:type="dcterms:W3CDTF">2024-06-28T15:01:00Z</dcterms:created>
  <dcterms:modified xsi:type="dcterms:W3CDTF">2024-07-02T07:30:40Z</dcterms:modified>
</cp:coreProperties>
</file>